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98" w:rsidRDefault="006D5F98">
      <w:pPr>
        <w:jc w:val="center"/>
        <w:rPr>
          <w:b/>
          <w:sz w:val="40"/>
          <w:szCs w:val="40"/>
        </w:rPr>
      </w:pPr>
    </w:p>
    <w:p w:rsidR="006D5F98" w:rsidRDefault="009C34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Tisková zpráva Hnutí DUHA, </w:t>
      </w:r>
      <w:proofErr w:type="gramStart"/>
      <w:r>
        <w:rPr>
          <w:sz w:val="24"/>
          <w:szCs w:val="24"/>
        </w:rPr>
        <w:t>Zeleného</w:t>
      </w:r>
      <w:proofErr w:type="gramEnd"/>
      <w:r>
        <w:rPr>
          <w:sz w:val="24"/>
          <w:szCs w:val="24"/>
        </w:rPr>
        <w:t xml:space="preserve"> kruhu a Klimatické koalice</w:t>
      </w:r>
    </w:p>
    <w:p w:rsidR="006D5F98" w:rsidRDefault="006D5F98">
      <w:pPr>
        <w:jc w:val="center"/>
        <w:rPr>
          <w:b/>
          <w:sz w:val="24"/>
          <w:szCs w:val="24"/>
        </w:rPr>
      </w:pPr>
    </w:p>
    <w:p w:rsidR="006D5F98" w:rsidRDefault="009C344F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Po roce od získání důvěry plní vláda alespoň částečně své sliby ve většině ekologických témat, má v nich ale zpoždění</w:t>
      </w:r>
    </w:p>
    <w:p w:rsidR="006D5F98" w:rsidRDefault="006D5F98">
      <w:pPr>
        <w:rPr>
          <w:b/>
          <w:sz w:val="24"/>
          <w:szCs w:val="24"/>
        </w:rPr>
      </w:pPr>
    </w:p>
    <w:p w:rsidR="006D5F98" w:rsidRDefault="006D5F98">
      <w:pPr>
        <w:rPr>
          <w:b/>
          <w:sz w:val="24"/>
          <w:szCs w:val="24"/>
        </w:rPr>
      </w:pPr>
    </w:p>
    <w:p w:rsidR="006D5F98" w:rsidRDefault="009C344F">
      <w:pPr>
        <w:jc w:val="right"/>
        <w:rPr>
          <w:sz w:val="24"/>
          <w:szCs w:val="24"/>
        </w:rPr>
      </w:pPr>
      <w:r>
        <w:rPr>
          <w:sz w:val="24"/>
          <w:szCs w:val="24"/>
        </w:rPr>
        <w:t>čtvrtek 12. ledna 2023</w:t>
      </w:r>
    </w:p>
    <w:p w:rsidR="006D5F98" w:rsidRDefault="006D5F98">
      <w:pPr>
        <w:rPr>
          <w:sz w:val="24"/>
          <w:szCs w:val="24"/>
        </w:rPr>
      </w:pP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Zítra (13. ledna 2023) uplyne přesně rok od chvíle, kdy vláda Petra Fialy získala se svým programovým prohlášením důvěru Poslanecké sněmovny. Experti a expertky Hnutí DUHA a dalších organizací asociace ekologický</w:t>
      </w:r>
      <w:r w:rsidR="00863DCD">
        <w:rPr>
          <w:sz w:val="24"/>
          <w:szCs w:val="24"/>
        </w:rPr>
        <w:t>ch</w:t>
      </w:r>
      <w:bookmarkStart w:id="0" w:name="_GoBack"/>
      <w:bookmarkEnd w:id="0"/>
      <w:r>
        <w:rPr>
          <w:sz w:val="24"/>
          <w:szCs w:val="24"/>
        </w:rPr>
        <w:t xml:space="preserve"> organizací Zelený kruh vyhodnotili, jak vl</w:t>
      </w:r>
      <w:r>
        <w:rPr>
          <w:sz w:val="24"/>
          <w:szCs w:val="24"/>
        </w:rPr>
        <w:t>áda první rok plnila body ke zlepšování kvality ovzduší, péči o půdu, zemědělství, ochraně klimatu a modernizaci energetiky. Podrobné hodnocení výsledků je v příloze tiskové zprávy.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sz w:val="24"/>
          <w:szCs w:val="24"/>
        </w:rPr>
      </w:pPr>
      <w:r>
        <w:rPr>
          <w:sz w:val="24"/>
          <w:szCs w:val="24"/>
        </w:rPr>
        <w:t xml:space="preserve">Vláda dosáhla </w:t>
      </w:r>
      <w:r>
        <w:rPr>
          <w:b/>
          <w:sz w:val="24"/>
          <w:szCs w:val="24"/>
        </w:rPr>
        <w:t>v pěti ekologických tématech nezanedbatelného posunu k lepš</w:t>
      </w:r>
      <w:r>
        <w:rPr>
          <w:b/>
          <w:sz w:val="24"/>
          <w:szCs w:val="24"/>
        </w:rPr>
        <w:t>ímu</w:t>
      </w:r>
      <w:r>
        <w:rPr>
          <w:sz w:val="24"/>
          <w:szCs w:val="24"/>
        </w:rPr>
        <w:t xml:space="preserve"> (rozvoji obnovitelných zdrojů, evropské a mezinárodní politice ochrany životního prostředí, ochraně půdy a zemědělské krajiny, ochraně zájmů životního prostředí při povolování staveb a v kontextu energetické krize i v tom, že neuhnula od útlumu uhlí). </w:t>
      </w:r>
      <w:r>
        <w:rPr>
          <w:sz w:val="24"/>
          <w:szCs w:val="24"/>
        </w:rPr>
        <w:t xml:space="preserve">Avšak v žádném ze svých slibů nedosáhla tak výrazného pokroku, jakého za první rok mohla (či přímo slibovala). 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 dalších </w:t>
      </w:r>
      <w:r>
        <w:rPr>
          <w:b/>
          <w:sz w:val="24"/>
          <w:szCs w:val="24"/>
        </w:rPr>
        <w:t>šesti případech došlo pouze k drobnému posunu k lepšímu</w:t>
      </w:r>
      <w:r>
        <w:rPr>
          <w:sz w:val="24"/>
          <w:szCs w:val="24"/>
        </w:rPr>
        <w:t xml:space="preserve"> či mírně převažují dosavadní dílčí pozitivní </w:t>
      </w:r>
      <w:proofErr w:type="gramStart"/>
      <w:r>
        <w:rPr>
          <w:sz w:val="24"/>
          <w:szCs w:val="24"/>
        </w:rPr>
        <w:t>kroky - jedná</w:t>
      </w:r>
      <w:proofErr w:type="gramEnd"/>
      <w:r>
        <w:rPr>
          <w:sz w:val="24"/>
          <w:szCs w:val="24"/>
        </w:rPr>
        <w:t xml:space="preserve"> se o ochranu ovzdu</w:t>
      </w:r>
      <w:r>
        <w:rPr>
          <w:sz w:val="24"/>
          <w:szCs w:val="24"/>
        </w:rPr>
        <w:t xml:space="preserve">ší, snižování množství odpadů, ochranu cenných území a druhů, zadržování vody v krajině, energetické úspory a dopravu. </w:t>
      </w:r>
      <w:proofErr w:type="gramStart"/>
      <w:r>
        <w:rPr>
          <w:b/>
          <w:sz w:val="24"/>
          <w:szCs w:val="24"/>
        </w:rPr>
        <w:t>Jedno  téma</w:t>
      </w:r>
      <w:proofErr w:type="gramEnd"/>
      <w:r>
        <w:rPr>
          <w:sz w:val="24"/>
          <w:szCs w:val="24"/>
        </w:rPr>
        <w:t xml:space="preserve"> (těžbu surovin) vláda zanedbala a nedošlo celkově k žádnému posunu či byly v rovnováze dílčí drobné pozitivní i negativní kro</w:t>
      </w:r>
      <w:r>
        <w:rPr>
          <w:sz w:val="24"/>
          <w:szCs w:val="24"/>
        </w:rPr>
        <w:t xml:space="preserve">ky. </w:t>
      </w:r>
      <w:r>
        <w:rPr>
          <w:b/>
          <w:sz w:val="24"/>
          <w:szCs w:val="24"/>
        </w:rPr>
        <w:t xml:space="preserve">Drobný posun k horšímu </w:t>
      </w:r>
      <w:r>
        <w:rPr>
          <w:sz w:val="24"/>
          <w:szCs w:val="24"/>
        </w:rPr>
        <w:t xml:space="preserve">či mírně převažují negativní kroky nastal v tématu ochrany a obnovy lesů, zejména nečinností Ministerstva zemědělství či přijetím nefunkčních opatření. </w:t>
      </w:r>
      <w:r>
        <w:rPr>
          <w:b/>
          <w:sz w:val="24"/>
          <w:szCs w:val="24"/>
        </w:rPr>
        <w:t>Výrazný posun k horšímu probíhá</w:t>
      </w:r>
      <w:r>
        <w:rPr>
          <w:sz w:val="24"/>
          <w:szCs w:val="24"/>
        </w:rPr>
        <w:t xml:space="preserve"> v oblasti jaderné energetiky a účasti občanů </w:t>
      </w:r>
      <w:r>
        <w:rPr>
          <w:sz w:val="24"/>
          <w:szCs w:val="24"/>
        </w:rPr>
        <w:t xml:space="preserve">při povolování stavebních záměrů. </w:t>
      </w:r>
    </w:p>
    <w:p w:rsidR="006D5F98" w:rsidRDefault="009C34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Největší kontrast mezi sliby z programového prohlášení a realitou je v případě lesů, kde vláda slibovala zásadní změnu přístupu k hospodaření i regulaci přemnožené zvěře a výsledek je zatím fakticky žádný. Stejně tak vlád</w:t>
      </w:r>
      <w:r>
        <w:rPr>
          <w:sz w:val="24"/>
          <w:szCs w:val="24"/>
        </w:rPr>
        <w:t>a slibovala posílení účasti veřejnosti v rozhodování o stavbách a místo toho účast dále omezuje.</w:t>
      </w:r>
    </w:p>
    <w:p w:rsidR="006D5F98" w:rsidRDefault="006D5F98">
      <w:pPr>
        <w:rPr>
          <w:color w:val="FF0000"/>
          <w:sz w:val="24"/>
          <w:szCs w:val="24"/>
        </w:rPr>
      </w:pPr>
    </w:p>
    <w:p w:rsidR="006D5F98" w:rsidRDefault="009C344F">
      <w:pPr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V roce 2022 ekologické organizace hodnotily Programové prohlášení tak, že z </w:t>
      </w:r>
      <w:r>
        <w:rPr>
          <w:b/>
          <w:sz w:val="24"/>
          <w:szCs w:val="24"/>
          <w:highlight w:val="white"/>
        </w:rPr>
        <w:t xml:space="preserve">15 hodnocených oblastí </w:t>
      </w:r>
      <w:r>
        <w:rPr>
          <w:sz w:val="24"/>
          <w:szCs w:val="24"/>
          <w:highlight w:val="white"/>
        </w:rPr>
        <w:t xml:space="preserve">měla vláda celkem </w:t>
      </w:r>
      <w:r>
        <w:rPr>
          <w:b/>
          <w:sz w:val="24"/>
          <w:szCs w:val="24"/>
          <w:highlight w:val="white"/>
        </w:rPr>
        <w:t>pět, kde předkládá konkrétní komplexní po</w:t>
      </w:r>
      <w:r>
        <w:rPr>
          <w:b/>
          <w:sz w:val="24"/>
          <w:szCs w:val="24"/>
          <w:highlight w:val="white"/>
        </w:rPr>
        <w:t xml:space="preserve">zitivní </w:t>
      </w:r>
      <w:proofErr w:type="gramStart"/>
      <w:r>
        <w:rPr>
          <w:b/>
          <w:sz w:val="24"/>
          <w:szCs w:val="24"/>
          <w:highlight w:val="white"/>
        </w:rPr>
        <w:t>plán</w:t>
      </w:r>
      <w:r>
        <w:rPr>
          <w:sz w:val="24"/>
          <w:szCs w:val="24"/>
          <w:highlight w:val="white"/>
        </w:rPr>
        <w:t xml:space="preserve"> - jedná</w:t>
      </w:r>
      <w:proofErr w:type="gramEnd"/>
      <w:r>
        <w:rPr>
          <w:sz w:val="24"/>
          <w:szCs w:val="24"/>
          <w:highlight w:val="white"/>
        </w:rPr>
        <w:t xml:space="preserve"> se o ozdravení českých lesů, chráněná území a druhy, zadržování vody v krajině, půdu a zemědělství a odklon od uhlí. </w:t>
      </w:r>
      <w:r>
        <w:rPr>
          <w:b/>
          <w:sz w:val="24"/>
          <w:szCs w:val="24"/>
          <w:highlight w:val="white"/>
        </w:rPr>
        <w:t>Ve třech dalších oblastech</w:t>
      </w:r>
      <w:r>
        <w:rPr>
          <w:sz w:val="24"/>
          <w:szCs w:val="24"/>
          <w:highlight w:val="white"/>
        </w:rPr>
        <w:t xml:space="preserve"> (ovzduší, odpady a obnovitelné zdroje) měla vláda konkrétní pozitivní závazky, ale chybí ko</w:t>
      </w:r>
      <w:r>
        <w:rPr>
          <w:sz w:val="24"/>
          <w:szCs w:val="24"/>
          <w:highlight w:val="white"/>
        </w:rPr>
        <w:t xml:space="preserve">mplexní strategie a důležité detaily k řešením. </w:t>
      </w:r>
      <w:r>
        <w:rPr>
          <w:sz w:val="24"/>
          <w:szCs w:val="24"/>
        </w:rPr>
        <w:t xml:space="preserve">Ve </w:t>
      </w:r>
      <w:r>
        <w:rPr>
          <w:b/>
          <w:sz w:val="24"/>
          <w:szCs w:val="24"/>
        </w:rPr>
        <w:t>čtyřech</w:t>
      </w:r>
      <w:r>
        <w:rPr>
          <w:sz w:val="24"/>
          <w:szCs w:val="24"/>
        </w:rPr>
        <w:t xml:space="preserve"> oblastech (energetické úspory, těžba surovin, účast veřejnosti a celková klimatická politika) zůstává vláda na úrovni obecných deklarací bez důležitých řešení. V </w:t>
      </w:r>
      <w:r>
        <w:rPr>
          <w:b/>
          <w:sz w:val="24"/>
          <w:szCs w:val="24"/>
        </w:rPr>
        <w:t>jednom případě</w:t>
      </w:r>
      <w:r>
        <w:rPr>
          <w:sz w:val="24"/>
          <w:szCs w:val="24"/>
        </w:rPr>
        <w:t xml:space="preserve"> (jaderná energetika)</w:t>
      </w:r>
      <w:r>
        <w:rPr>
          <w:sz w:val="24"/>
          <w:szCs w:val="24"/>
        </w:rPr>
        <w:t xml:space="preserve"> hodnotily ekologické organizace závazek z programového prohlášení jako vyloženě negativní, když bez dalších podmínek podporuje výstavbu jaderného bloku v Dukovanech. 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Jiří </w:t>
      </w:r>
      <w:proofErr w:type="spellStart"/>
      <w:r>
        <w:rPr>
          <w:b/>
          <w:sz w:val="24"/>
          <w:szCs w:val="24"/>
        </w:rPr>
        <w:t>Koželouh</w:t>
      </w:r>
      <w:proofErr w:type="spellEnd"/>
      <w:r>
        <w:rPr>
          <w:b/>
          <w:sz w:val="24"/>
          <w:szCs w:val="24"/>
        </w:rPr>
        <w:t xml:space="preserve"> z Hnutí DUHA výsledky komentuje:</w:t>
      </w:r>
    </w:p>
    <w:p w:rsidR="006D5F98" w:rsidRDefault="009C344F">
      <w:pPr>
        <w:rPr>
          <w:i/>
          <w:sz w:val="24"/>
          <w:szCs w:val="24"/>
        </w:rPr>
      </w:pPr>
      <w:r>
        <w:rPr>
          <w:i/>
          <w:sz w:val="24"/>
          <w:szCs w:val="24"/>
        </w:rPr>
        <w:t>“Rok od chvíle, kdy vláda Petra Fialy zí</w:t>
      </w:r>
      <w:r>
        <w:rPr>
          <w:i/>
          <w:sz w:val="24"/>
          <w:szCs w:val="24"/>
        </w:rPr>
        <w:t xml:space="preserve">skala </w:t>
      </w:r>
      <w:proofErr w:type="spellStart"/>
      <w:r>
        <w:rPr>
          <w:i/>
          <w:sz w:val="24"/>
          <w:szCs w:val="24"/>
        </w:rPr>
        <w:t>získala</w:t>
      </w:r>
      <w:proofErr w:type="spellEnd"/>
      <w:r>
        <w:rPr>
          <w:i/>
          <w:sz w:val="24"/>
          <w:szCs w:val="24"/>
        </w:rPr>
        <w:t xml:space="preserve"> se svým programem důvěru poslanců a poslankyň, udělala pokrok v jedenácti z patnácti ekologických témat, které dlouhodobě sledujeme. Pouze ve čtyřech tématech však došlo k zásadnějším krokům a většímu celkovému posunu. A v žádném ze svých záv</w:t>
      </w:r>
      <w:r>
        <w:rPr>
          <w:i/>
          <w:sz w:val="24"/>
          <w:szCs w:val="24"/>
        </w:rPr>
        <w:t xml:space="preserve">azkům nedosáhla tak výrazného pokroku, jakého za první rok mohla (či přímo slibovala). Největší skupinu ekologických </w:t>
      </w:r>
      <w:proofErr w:type="gramStart"/>
      <w:r>
        <w:rPr>
          <w:i/>
          <w:sz w:val="24"/>
          <w:szCs w:val="24"/>
        </w:rPr>
        <w:t>témat - celkem</w:t>
      </w:r>
      <w:proofErr w:type="gramEnd"/>
      <w:r>
        <w:rPr>
          <w:i/>
          <w:sz w:val="24"/>
          <w:szCs w:val="24"/>
        </w:rPr>
        <w:t xml:space="preserve"> šest - tvoří oblasti, kde vláda udělala spíše první nesmělé kroky ke zlepšení. Oproti minulým letům je třeba ocenit, že stát</w:t>
      </w:r>
      <w:r>
        <w:rPr>
          <w:i/>
          <w:sz w:val="24"/>
          <w:szCs w:val="24"/>
        </w:rPr>
        <w:t xml:space="preserve"> konečně razí rozvoj obnovitelných zdrojů, byť je otázka, jak by to vypadalo, kdyby jej k tomu nedotlačila až válka a související tvrdé omezení přístupu k fosilním palivům z Ruska. Naopak vláda zásadně zaostala za svým programem v oblasti změny lesního hos</w:t>
      </w:r>
      <w:r>
        <w:rPr>
          <w:i/>
          <w:sz w:val="24"/>
          <w:szCs w:val="24"/>
        </w:rPr>
        <w:t>podaření a ozdravení lesů, což vede ke škodám a zhoršování stavu krajiny.”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Petra Kolínská ze </w:t>
      </w:r>
      <w:proofErr w:type="gramStart"/>
      <w:r>
        <w:rPr>
          <w:b/>
          <w:sz w:val="24"/>
          <w:szCs w:val="24"/>
        </w:rPr>
        <w:t>Zeleného</w:t>
      </w:r>
      <w:proofErr w:type="gramEnd"/>
      <w:r>
        <w:rPr>
          <w:b/>
          <w:sz w:val="24"/>
          <w:szCs w:val="24"/>
        </w:rPr>
        <w:t xml:space="preserve"> kruhu říká: "</w:t>
      </w:r>
      <w:r>
        <w:rPr>
          <w:i/>
          <w:sz w:val="24"/>
          <w:szCs w:val="24"/>
        </w:rPr>
        <w:t>Vládní prohlášení považujeme za závazný dokument. Apelujeme proto na dotčené ministry, aby se zaměřili na oblasti, kde se zatím sliby nedaří</w:t>
      </w:r>
      <w:r>
        <w:rPr>
          <w:i/>
          <w:sz w:val="24"/>
          <w:szCs w:val="24"/>
        </w:rPr>
        <w:t xml:space="preserve"> plnit, aniž je pro to rozumný důvod</w:t>
      </w:r>
      <w:r>
        <w:rPr>
          <w:sz w:val="24"/>
          <w:szCs w:val="24"/>
        </w:rPr>
        <w:t xml:space="preserve">." </w:t>
      </w:r>
    </w:p>
    <w:p w:rsidR="006D5F98" w:rsidRDefault="006D5F98">
      <w:pPr>
        <w:rPr>
          <w:b/>
          <w:sz w:val="24"/>
          <w:szCs w:val="24"/>
        </w:rPr>
      </w:pPr>
    </w:p>
    <w:p w:rsidR="006D5F98" w:rsidRDefault="009C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Kontakty pro více informací:</w:t>
      </w:r>
    </w:p>
    <w:p w:rsidR="006D5F98" w:rsidRDefault="006D5F98">
      <w:pPr>
        <w:rPr>
          <w:b/>
          <w:sz w:val="24"/>
          <w:szCs w:val="24"/>
        </w:rPr>
      </w:pPr>
    </w:p>
    <w:p w:rsidR="006D5F98" w:rsidRDefault="009C34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Jiří </w:t>
      </w:r>
      <w:proofErr w:type="spellStart"/>
      <w:r>
        <w:rPr>
          <w:b/>
          <w:sz w:val="24"/>
          <w:szCs w:val="24"/>
        </w:rPr>
        <w:t>Koželouh</w:t>
      </w:r>
      <w:proofErr w:type="spellEnd"/>
      <w:r>
        <w:rPr>
          <w:sz w:val="24"/>
          <w:szCs w:val="24"/>
        </w:rPr>
        <w:t xml:space="preserve">, vedoucí programu Klima, energetika a odpady Hnutí DUHA, tel.: 723 559 495, e-mail: </w:t>
      </w:r>
      <w:hyperlink r:id="rId7">
        <w:r>
          <w:rPr>
            <w:color w:val="1155CC"/>
            <w:sz w:val="24"/>
            <w:szCs w:val="24"/>
            <w:u w:val="single"/>
          </w:rPr>
          <w:t>jiri.kozelouh@hnutiduha.cz</w:t>
        </w:r>
      </w:hyperlink>
      <w:r>
        <w:rPr>
          <w:sz w:val="24"/>
          <w:szCs w:val="24"/>
        </w:rPr>
        <w:t xml:space="preserve"> </w:t>
      </w:r>
    </w:p>
    <w:p w:rsidR="006D5F98" w:rsidRDefault="009C344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Petra Kolínská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Zelený</w:t>
      </w:r>
      <w:proofErr w:type="gramEnd"/>
      <w:r>
        <w:rPr>
          <w:sz w:val="24"/>
          <w:szCs w:val="24"/>
        </w:rPr>
        <w:t xml:space="preserve"> kruh, tel.:  776 552 022, e-mail: </w:t>
      </w:r>
      <w:hyperlink r:id="rId8">
        <w:r>
          <w:rPr>
            <w:color w:val="1155CC"/>
            <w:sz w:val="24"/>
            <w:szCs w:val="24"/>
            <w:u w:val="single"/>
          </w:rPr>
          <w:t>petra.kolinska@zelenykruh.cz</w:t>
        </w:r>
      </w:hyperlink>
      <w:r>
        <w:rPr>
          <w:sz w:val="24"/>
          <w:szCs w:val="24"/>
        </w:rPr>
        <w:t xml:space="preserve"> </w:t>
      </w:r>
    </w:p>
    <w:p w:rsidR="006D5F98" w:rsidRDefault="006D5F98">
      <w:pPr>
        <w:rPr>
          <w:sz w:val="24"/>
          <w:szCs w:val="24"/>
        </w:rPr>
      </w:pP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b/>
          <w:sz w:val="30"/>
          <w:szCs w:val="30"/>
        </w:rPr>
      </w:pPr>
      <w:r>
        <w:rPr>
          <w:b/>
          <w:sz w:val="30"/>
          <w:szCs w:val="30"/>
        </w:rPr>
        <w:t>Příloha: Podrobné výsledky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Tabulka hodnocení programových závazků vlády a jejich plnění v prvním roce vládnutí</w:t>
      </w:r>
    </w:p>
    <w:p w:rsidR="006D5F98" w:rsidRDefault="006D5F98">
      <w:pPr>
        <w:rPr>
          <w:sz w:val="24"/>
          <w:szCs w:val="24"/>
        </w:rPr>
      </w:pPr>
    </w:p>
    <w:tbl>
      <w:tblPr>
        <w:tblStyle w:val="a"/>
        <w:tblW w:w="14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770"/>
        <w:gridCol w:w="1770"/>
        <w:gridCol w:w="1770"/>
        <w:gridCol w:w="1755"/>
        <w:gridCol w:w="1755"/>
        <w:gridCol w:w="1740"/>
        <w:gridCol w:w="1725"/>
        <w:gridCol w:w="1650"/>
      </w:tblGrid>
      <w:tr w:rsidR="006D5F98">
        <w:trPr>
          <w:trHeight w:val="46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ovzduší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chráněná území a druhy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voda v krajině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půda a zemědělství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konec uhlí a spravedlivá transformace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5F98">
        <w:trPr>
          <w:trHeight w:val="1187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programové prohlášení vlády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5F98">
        <w:trPr>
          <w:trHeight w:val="1170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plnění po 1. roce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sz w:val="18"/>
                <w:szCs w:val="18"/>
                <w:shd w:val="clear" w:color="auto" w:fill="3C78D8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5F98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5F98">
        <w:trPr>
          <w:trHeight w:val="69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energetická efektivita a úspory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obnovitelné zdroje energie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jaderná energetika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doprava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těžba surovin</w:t>
            </w: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účast občanů při povolování stavebních záměrů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ochrana zájmů životního prostředí při povolování staveb</w:t>
            </w: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klimatická politika (EU, mezinárodní)</w:t>
            </w:r>
          </w:p>
        </w:tc>
      </w:tr>
      <w:tr w:rsidR="006D5F98">
        <w:trPr>
          <w:trHeight w:val="465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programové prohlášení vlády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5F98">
        <w:trPr>
          <w:trHeight w:val="1140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plnění po 1. roce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Legenda</w:t>
      </w:r>
    </w:p>
    <w:tbl>
      <w:tblPr>
        <w:tblStyle w:val="a0"/>
        <w:tblW w:w="7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850"/>
        <w:gridCol w:w="2850"/>
      </w:tblGrid>
      <w:tr w:rsidR="006D5F98">
        <w:trPr>
          <w:trHeight w:val="915"/>
        </w:trPr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hodnocení Programového prohlášení vlády ODS, STAN, KDU-CSL, TOP09 a </w:t>
            </w:r>
            <w:proofErr w:type="gramStart"/>
            <w:r>
              <w:rPr>
                <w:b/>
                <w:sz w:val="20"/>
                <w:szCs w:val="20"/>
              </w:rPr>
              <w:t>Pirátů</w:t>
            </w:r>
            <w:proofErr w:type="gram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 naplňování programového prohlášení za 1. rok vlády</w:t>
            </w:r>
          </w:p>
        </w:tc>
      </w:tr>
      <w:tr w:rsidR="006D5F98">
        <w:trPr>
          <w:trHeight w:val="690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uvádí konkrétní a komplexní plán, jak řešit problém či využít výzvu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výrazný posun k lepšímu</w:t>
            </w:r>
          </w:p>
        </w:tc>
      </w:tr>
      <w:tr w:rsidR="006D5F98">
        <w:trPr>
          <w:trHeight w:val="915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uvádí obecný plán, jak řešit problém či využít výzvu a/nebo uvádí jen dílčí konkrétní řešení (plán není komplexní)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částečný nezanedbatelný posun k lepšímu, převažují pozitivní kroky</w:t>
            </w:r>
          </w:p>
        </w:tc>
      </w:tr>
      <w:tr w:rsidR="006D5F98">
        <w:trPr>
          <w:trHeight w:val="690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... jen naznačuje obecně pozitivní postoj či vágní náznaky dílčích řešení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posun k lepšímu, mírně převažují pozitivní kroky</w:t>
            </w:r>
          </w:p>
        </w:tc>
      </w:tr>
      <w:tr w:rsidR="006D5F98">
        <w:trPr>
          <w:trHeight w:val="915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věci se vůbec nevěnuje nebo je v prohlášení pouze velmi obecné vyjádření (ani </w:t>
            </w:r>
            <w:proofErr w:type="spellStart"/>
            <w:r>
              <w:rPr>
                <w:sz w:val="20"/>
                <w:szCs w:val="20"/>
              </w:rPr>
              <w:t>pozitiní</w:t>
            </w:r>
            <w:proofErr w:type="spellEnd"/>
            <w:r>
              <w:rPr>
                <w:sz w:val="20"/>
                <w:szCs w:val="20"/>
              </w:rPr>
              <w:t xml:space="preserve"> ani negativní)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celkově žádný posun k lepšímu, pozitivní a negativní kroky v rovnováze</w:t>
            </w:r>
          </w:p>
        </w:tc>
      </w:tr>
      <w:tr w:rsidR="006D5F98">
        <w:trPr>
          <w:trHeight w:val="1365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... jen naznačuje obecně negativní postoj či méně významné dílčí negativní kroky, případně může obsahovat i dílčí pozitivní kroky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drobný posun k horšímu, mírně převažují negativní kroky</w:t>
            </w:r>
          </w:p>
        </w:tc>
      </w:tr>
      <w:tr w:rsidR="006D5F98">
        <w:trPr>
          <w:trHeight w:val="690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uvádí obecně negativní plán, postrádá nejzásadnější konkrétní negativní kroky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částečný posun k horšímu, převažují negativní kroky</w:t>
            </w:r>
          </w:p>
        </w:tc>
      </w:tr>
      <w:tr w:rsidR="006D5F98">
        <w:trPr>
          <w:trHeight w:val="690"/>
        </w:trPr>
        <w:tc>
          <w:tcPr>
            <w:tcW w:w="18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6D5F9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… uvádí konkrétní plán, který by vedl k prohloubení problému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5F98" w:rsidRDefault="009C344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výrazný posun k horšímu</w:t>
            </w:r>
          </w:p>
        </w:tc>
      </w:tr>
    </w:tbl>
    <w:p w:rsidR="006D5F98" w:rsidRDefault="006D5F98">
      <w:pPr>
        <w:rPr>
          <w:sz w:val="24"/>
          <w:szCs w:val="24"/>
        </w:rPr>
      </w:pPr>
    </w:p>
    <w:p w:rsidR="006D5F98" w:rsidRDefault="006D5F98">
      <w:pPr>
        <w:rPr>
          <w:sz w:val="24"/>
          <w:szCs w:val="24"/>
        </w:rPr>
      </w:pP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Komentáře k jednotlivým oblastem </w:t>
      </w:r>
    </w:p>
    <w:p w:rsidR="006D5F98" w:rsidRDefault="006D5F98">
      <w:pPr>
        <w:rPr>
          <w:b/>
          <w:sz w:val="26"/>
          <w:szCs w:val="26"/>
          <w:shd w:val="clear" w:color="auto" w:fill="FFE599"/>
        </w:rPr>
      </w:pPr>
    </w:p>
    <w:p w:rsidR="006D5F98" w:rsidRDefault="009C344F">
      <w:pPr>
        <w:numPr>
          <w:ilvl w:val="0"/>
          <w:numId w:val="1"/>
        </w:numPr>
      </w:pPr>
      <w:r>
        <w:rPr>
          <w:b/>
          <w:shd w:val="clear" w:color="auto" w:fill="C9DAF8"/>
        </w:rPr>
        <w:t>Ovzduší</w:t>
      </w:r>
      <w:r>
        <w:rPr>
          <w:b/>
        </w:rPr>
        <w:t>:</w:t>
      </w:r>
      <w:r>
        <w:t xml:space="preserve"> Vláda navýšila finance na výměnu kotlů a zateplování domů. V rámci změny emisní vyhlášky MŽP odmítlo uvolnit limity více, než je kvůli energetické krizi potřeba. Výjimky z emisních limitů zatím nebyly omezeny, jak slibuje programové prohlášení a MŽP dluží</w:t>
      </w:r>
      <w:r>
        <w:t xml:space="preserve"> metodiku, která by to zajistila. Vysokorychlostní železnice se připravují, ale je to v rané fázi. Obchvaty měst se připravují stále stejným tempem.</w:t>
      </w:r>
    </w:p>
    <w:p w:rsidR="006D5F98" w:rsidRDefault="009C344F">
      <w:pPr>
        <w:ind w:left="720"/>
        <w:rPr>
          <w:sz w:val="24"/>
          <w:szCs w:val="24"/>
        </w:rPr>
      </w:pPr>
      <w:r>
        <w:t xml:space="preserve">V ČR byly i během roku </w:t>
      </w:r>
      <w:proofErr w:type="gramStart"/>
      <w:r>
        <w:t>2022  běžně</w:t>
      </w:r>
      <w:proofErr w:type="gramEnd"/>
      <w:r>
        <w:t xml:space="preserve"> překračovány imisní limity i doporučení WHO pro koncentrace znečišťující</w:t>
      </w:r>
      <w:r>
        <w:t xml:space="preserve">ch látek (především jemných prachové částic. PM 2,5, </w:t>
      </w:r>
      <w:r>
        <w:rPr>
          <w:sz w:val="24"/>
          <w:szCs w:val="24"/>
        </w:rPr>
        <w:t xml:space="preserve">ale také N02 i přízemní ozón a karcinogenního </w:t>
      </w:r>
      <w:proofErr w:type="spellStart"/>
      <w:r>
        <w:rPr>
          <w:sz w:val="24"/>
          <w:szCs w:val="24"/>
        </w:rPr>
        <w:t>benzo</w:t>
      </w:r>
      <w:proofErr w:type="spellEnd"/>
      <w:r>
        <w:rPr>
          <w:sz w:val="24"/>
          <w:szCs w:val="24"/>
        </w:rPr>
        <w:t>(a)pyrenu který se váže na prachové částice) těžce dopadajících na zdraví.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C9DAF8"/>
        </w:rPr>
        <w:t>Odpady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Vláda avizovala přípravu zákona o </w:t>
      </w:r>
      <w:proofErr w:type="gramStart"/>
      <w:r>
        <w:rPr>
          <w:sz w:val="24"/>
          <w:szCs w:val="24"/>
        </w:rPr>
        <w:t>zálohování</w:t>
      </w:r>
      <w:proofErr w:type="gramEnd"/>
      <w:r>
        <w:rPr>
          <w:sz w:val="24"/>
          <w:szCs w:val="24"/>
        </w:rPr>
        <w:t xml:space="preserve"> a to nejen skleněných a</w:t>
      </w:r>
      <w:r>
        <w:rPr>
          <w:sz w:val="24"/>
          <w:szCs w:val="24"/>
        </w:rPr>
        <w:t xml:space="preserve"> kovových nápojových obalů. Centrální katalog recyklovaných stavebních prvků zatím nevznikl, „recyklační huby“ také ne. Recyklace plastů a skla se nezlepšila, naopak trh prochází výraznou krizí (za kterou ovšem nemůže vláda). Rozvoj technologií pro třídění</w:t>
      </w:r>
      <w:r>
        <w:rPr>
          <w:sz w:val="24"/>
          <w:szCs w:val="24"/>
        </w:rPr>
        <w:t xml:space="preserve"> a opětovné využití je však podporován v rámci EU fondů. Motivace výrobců a distributorů k menšímu používání jednorázových obalů byla dána implementací evropské směrnice. Podpora kompostování je zatím stále jen slovní, zpracování </w:t>
      </w:r>
      <w:proofErr w:type="spellStart"/>
      <w:r>
        <w:rPr>
          <w:sz w:val="24"/>
          <w:szCs w:val="24"/>
        </w:rPr>
        <w:t>gastroodpadů</w:t>
      </w:r>
      <w:proofErr w:type="spellEnd"/>
      <w:r>
        <w:rPr>
          <w:sz w:val="24"/>
          <w:szCs w:val="24"/>
        </w:rPr>
        <w:t xml:space="preserve"> má finanční p</w:t>
      </w:r>
      <w:r>
        <w:rPr>
          <w:sz w:val="24"/>
          <w:szCs w:val="24"/>
        </w:rPr>
        <w:t xml:space="preserve">odporu v rámci EU fondů. Zatím nejsou zavedeny požadavky na udržitelnost v rámci zadávání veřejných zakázek s cílem omezit vznik odpadů. Přetrvává podpora energetického využívání odpadů (např. souhlasná stanoviska EIA k dalším záměrům stavby spaloven), </w:t>
      </w:r>
      <w:proofErr w:type="spellStart"/>
      <w:r>
        <w:rPr>
          <w:sz w:val="24"/>
          <w:szCs w:val="24"/>
        </w:rPr>
        <w:t>nad</w:t>
      </w:r>
      <w:r>
        <w:rPr>
          <w:sz w:val="24"/>
          <w:szCs w:val="24"/>
        </w:rPr>
        <w:t>kapacitní</w:t>
      </w:r>
      <w:proofErr w:type="spellEnd"/>
      <w:r>
        <w:rPr>
          <w:sz w:val="24"/>
          <w:szCs w:val="24"/>
        </w:rPr>
        <w:t xml:space="preserve"> stavba těchto zařízení, která momentálně hrozí, však může naopak ohrozit rozvoj recyklace a předcházení vzniku odpadů a vést k nutnosti dovozu odpadů ze zahraničí. Teze o snížení množství odpadů oběhovým hospodářstvím je zatím stále tezí.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FFD966"/>
        </w:rPr>
        <w:t>Lesy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Novela zákona o myslivosti stále není předložena, i když ji odborná veřejnost (koalice vlastníků lesů, ochranářů, lesníků a zemědělců) připravila. Ministr zemědělství Zdeněk Nekula chce předložit vlastní návrh, ale jeho úřad neměl kvůli </w:t>
      </w:r>
      <w:r>
        <w:rPr>
          <w:sz w:val="24"/>
          <w:szCs w:val="24"/>
        </w:rPr>
        <w:lastRenderedPageBreak/>
        <w:t>evropskému předsedn</w:t>
      </w:r>
      <w:r>
        <w:rPr>
          <w:sz w:val="24"/>
          <w:szCs w:val="24"/>
        </w:rPr>
        <w:t xml:space="preserve">ictví čas. Nečinnost a nevyužití připravených návrhů hodnotíme jako negativní krok, neboť přemnožená zvěř znemožňuje obnovu odolnějších lesů. Prozatímní ředitel Lesů ČR Jiří </w:t>
      </w:r>
      <w:proofErr w:type="spellStart"/>
      <w:r>
        <w:rPr>
          <w:sz w:val="24"/>
          <w:szCs w:val="24"/>
        </w:rPr>
        <w:t>Groda</w:t>
      </w:r>
      <w:proofErr w:type="spellEnd"/>
      <w:r>
        <w:rPr>
          <w:sz w:val="24"/>
          <w:szCs w:val="24"/>
        </w:rPr>
        <w:t xml:space="preserve"> alespoň vyjednal s ministerstvem, že 25 % honiteb Lesy ČR přestanou pronajím</w:t>
      </w:r>
      <w:r>
        <w:rPr>
          <w:sz w:val="24"/>
          <w:szCs w:val="24"/>
        </w:rPr>
        <w:t>at a začnou provozovat myslivost ve vlastní režii, což hodnotíme jako posun k lepšímu.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>Ministerstvo zemědělství (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) nepředložilo slibovanou změnu zadání pro Lesy ČR, které dle programového prohlášení vlády mají přestat být továrnou na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dřevo. Výběrové </w:t>
      </w:r>
      <w:r>
        <w:rPr>
          <w:sz w:val="24"/>
          <w:szCs w:val="24"/>
        </w:rPr>
        <w:t xml:space="preserve">řízení na nového ředitele se muselo opakovat, transparentností neoplývalo o a ani nově vybraný ředitel není zárukou slibované změny.  </w:t>
      </w:r>
    </w:p>
    <w:p w:rsidR="006D5F98" w:rsidRDefault="009C344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na jaře představilo nový program podpor adaptace lesních ekosystémů na klimatickou změnu, který je doslova Potěmkinov</w:t>
      </w:r>
      <w:r>
        <w:rPr>
          <w:sz w:val="24"/>
          <w:szCs w:val="24"/>
        </w:rPr>
        <w:t>ou vesnicí – ve skutečnosti vlastníky ke skutečným krokům k adaptaci lesů na změnu klimatu a podpoře biodiverzity nestimuluje – dává jim peníze za současné neudržitelné hospodaření. Také pravidla finanční podpory na obnovu lesů (národní dotace, NPO) nezaji</w:t>
      </w:r>
      <w:r>
        <w:rPr>
          <w:sz w:val="24"/>
          <w:szCs w:val="24"/>
        </w:rPr>
        <w:t xml:space="preserve">šťují obnovu věkově a prostorově </w:t>
      </w:r>
      <w:proofErr w:type="gramStart"/>
      <w:r>
        <w:rPr>
          <w:sz w:val="24"/>
          <w:szCs w:val="24"/>
        </w:rPr>
        <w:t>diferencovaných</w:t>
      </w:r>
      <w:proofErr w:type="gramEnd"/>
      <w:r>
        <w:rPr>
          <w:sz w:val="24"/>
          <w:szCs w:val="24"/>
        </w:rPr>
        <w:t xml:space="preserve"> a tudíž odolnějších lesů (nedostatečný důraz na přirozenou obnovu a využití přípravných dřevin na holinách), v praxi tak dochází díky dotacím k obnově stejnověkých porostů. U státních lesů 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závazek upředn</w:t>
      </w:r>
      <w:r>
        <w:rPr>
          <w:sz w:val="24"/>
          <w:szCs w:val="24"/>
        </w:rPr>
        <w:t>ostnit mimoprodukční funkce nijak nenaplňovalo. Tento krok je tedy posun k horšímu.</w:t>
      </w:r>
    </w:p>
    <w:p w:rsidR="006D5F98" w:rsidRDefault="009C344F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novelizovalo vyhlášku o lesním hospodářském plánovaní, která částečně zlepšila podmínky lesního hospodářského plánování pro lesy obhospodařované přírody blízkými postup</w:t>
      </w:r>
      <w:r>
        <w:rPr>
          <w:sz w:val="24"/>
          <w:szCs w:val="24"/>
        </w:rPr>
        <w:t xml:space="preserve">y. Což je samo o sobě částečný nezanedbatelná posun k lepšímu. </w:t>
      </w:r>
      <w:proofErr w:type="spellStart"/>
      <w:r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 xml:space="preserve"> ale vydalo také novou vyhlášku č. 456/2021 Sb., o podrobnostech přenosu reprodukčního materiálu lesních dřevin, o evidenci o původu reprodukčního materiálu a podrobnostech o obnově lesních </w:t>
      </w:r>
      <w:r>
        <w:rPr>
          <w:sz w:val="24"/>
          <w:szCs w:val="24"/>
        </w:rPr>
        <w:t xml:space="preserve">porostů a o zalesňování pozemků prohlášených za pozemky určené k plnění funkcí lesa, která nahradila předchozí vyhlášku č. 139/2004. V této vyhlášce neodstranilo </w:t>
      </w:r>
      <w:proofErr w:type="spellStart"/>
      <w:proofErr w:type="gramStart"/>
      <w:r>
        <w:rPr>
          <w:sz w:val="24"/>
          <w:szCs w:val="24"/>
        </w:rPr>
        <w:t>problém,.</w:t>
      </w:r>
      <w:proofErr w:type="gramEnd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nutí vlastníky k výsadbě hustých stejnověkých lesů (povinné počty sazenic snížilo </w:t>
      </w:r>
      <w:r>
        <w:rPr>
          <w:sz w:val="24"/>
          <w:szCs w:val="24"/>
        </w:rPr>
        <w:t>jen málo). Oproti předchozí vyhlášce je to sice velmi malý posun k lepšímu, ale je to daleko horší výsledek, než který vláda slibovala v programovém prohlášení.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>Strategie obnovy a přestavby lesních porostů s důrazem na posilování ekosystémových funkcí dle rizika ohrožení rozpadu porostů a biomonitoringu reakce lesů na sucho nebyla připravena.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C9DAF8"/>
        </w:rPr>
        <w:t>Chráněná území a druhy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MŽP začalo proces projednání návrhu na vyhlášen</w:t>
      </w:r>
      <w:r>
        <w:rPr>
          <w:sz w:val="24"/>
          <w:szCs w:val="24"/>
        </w:rPr>
        <w:t>í národního parku Křivoklátsko. Nedostatečně. Čelí propagandě myslivecké a lesnické lobby, která proti vyhlášení NP poštvala místní obce. K vyhlášení NP Soutok (ani CHKO Soutok) zatím žádné kroky nepodniklo. Agentura ochrany přírody a krajiny připravila ko</w:t>
      </w:r>
      <w:r>
        <w:rPr>
          <w:sz w:val="24"/>
          <w:szCs w:val="24"/>
        </w:rPr>
        <w:t xml:space="preserve">ncept novely </w:t>
      </w:r>
      <w:r>
        <w:rPr>
          <w:sz w:val="24"/>
          <w:szCs w:val="24"/>
        </w:rPr>
        <w:lastRenderedPageBreak/>
        <w:t xml:space="preserve">zákona o ochraně přírody a krajiny pro zajištění účinnější ochrany druhů postavenou především na ochraně biotopů, který však nebyl odbornou veřejností pozitivně přijatý. Pozitivní je snaha plnit program, ale zatím není </w:t>
      </w:r>
      <w:proofErr w:type="gramStart"/>
      <w:r>
        <w:rPr>
          <w:sz w:val="24"/>
          <w:szCs w:val="24"/>
        </w:rPr>
        <w:t>jasné</w:t>
      </w:r>
      <w:proofErr w:type="gramEnd"/>
      <w:r>
        <w:rPr>
          <w:sz w:val="24"/>
          <w:szCs w:val="24"/>
        </w:rPr>
        <w:t xml:space="preserve"> jestli výsledek bu</w:t>
      </w:r>
      <w:r>
        <w:rPr>
          <w:sz w:val="24"/>
          <w:szCs w:val="24"/>
        </w:rPr>
        <w:t>de pozitivní.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C9DAF8"/>
        </w:rPr>
        <w:t>Voda v krajině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Ústavní zákon o ochraně vody neřeší příčiny nedostatku vody v krajině, příliš rychlého odtoku a podobně.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Díky ochranným pásům kolem vodních toků aplikovaných v rámci opatření dotací ze Společné zemědělské politiky by se měla </w:t>
      </w:r>
      <w:r>
        <w:rPr>
          <w:sz w:val="24"/>
          <w:szCs w:val="24"/>
        </w:rPr>
        <w:t>zlepšit úroveň ochrany vod. Byly zastaveny práce na kanálu Dunaj-Odra-Labe, ale ČR neodmítla polské plány na splavnění Odry a stále se plánuje splavnění Labe. Novinkou v dotační nabídce Operačního programu Životní prostředí budou dotace na nákup pozemků pr</w:t>
      </w:r>
      <w:r>
        <w:rPr>
          <w:sz w:val="24"/>
          <w:szCs w:val="24"/>
        </w:rPr>
        <w:t xml:space="preserve">o podporu </w:t>
      </w:r>
      <w:proofErr w:type="spellStart"/>
      <w:r>
        <w:rPr>
          <w:sz w:val="24"/>
          <w:szCs w:val="24"/>
        </w:rPr>
        <w:t>renaturačních</w:t>
      </w:r>
      <w:proofErr w:type="spellEnd"/>
      <w:r>
        <w:rPr>
          <w:sz w:val="24"/>
          <w:szCs w:val="24"/>
        </w:rPr>
        <w:t xml:space="preserve"> procesů a revitalizaci vodních toků. Vláda podepsala špatnou smlouvu s Polskem o dolu </w:t>
      </w:r>
      <w:proofErr w:type="spellStart"/>
      <w:r>
        <w:rPr>
          <w:sz w:val="24"/>
          <w:szCs w:val="24"/>
        </w:rPr>
        <w:t>Turów</w:t>
      </w:r>
      <w:proofErr w:type="spellEnd"/>
      <w:r>
        <w:rPr>
          <w:sz w:val="24"/>
          <w:szCs w:val="24"/>
        </w:rPr>
        <w:t xml:space="preserve"> a za peníze se vzdala možnosti chránit vodu a místní obyvatele</w:t>
      </w:r>
    </w:p>
    <w:p w:rsidR="006D5F98" w:rsidRDefault="006D5F98">
      <w:pPr>
        <w:rPr>
          <w:color w:val="FF0000"/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6D9EEB"/>
        </w:rPr>
        <w:t>Půda a zemědělství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Byly schváleny dotace ze Společné zemědělské politiky (SZP), a to v lepší podobě oproti návrhu předchozího ministra zemědělství Tomana. Jedná se o důležitý posun, jakkoli nedostatečný z hlediska zvrácení úbytku biodiverzity či adaptace krajiny na klimatic</w:t>
      </w:r>
      <w:r>
        <w:rPr>
          <w:sz w:val="24"/>
          <w:szCs w:val="24"/>
        </w:rPr>
        <w:t xml:space="preserve">kou změnu. V krajině tak od příštího roku začnou díky evropské legislativě vznikat zejména úhorové plochy, které těmto cílům pomohou. V rámci dobrovolných tzv. </w:t>
      </w:r>
      <w:proofErr w:type="spellStart"/>
      <w:r>
        <w:rPr>
          <w:sz w:val="24"/>
          <w:szCs w:val="24"/>
        </w:rPr>
        <w:t>ekoschémat</w:t>
      </w:r>
      <w:proofErr w:type="spellEnd"/>
      <w:r>
        <w:rPr>
          <w:sz w:val="24"/>
          <w:szCs w:val="24"/>
        </w:rPr>
        <w:t xml:space="preserve"> budou navíc zemědělci motivováni vytvářet takových ploch více a zlepší se také ochran</w:t>
      </w:r>
      <w:r>
        <w:rPr>
          <w:sz w:val="24"/>
          <w:szCs w:val="24"/>
        </w:rPr>
        <w:t>a vodních toků, které budou chráněny několikametrovými pásy. Svůj cíl vyčlenit pro biodiverzitu 10 % ploch však vláda neplní.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>Oproti minulým letům se také zvýší finanční a poradenská podpora ekologického zemědělství, zůstala však pouze na úrovni návrhu min</w:t>
      </w:r>
      <w:r>
        <w:rPr>
          <w:sz w:val="24"/>
          <w:szCs w:val="24"/>
        </w:rPr>
        <w:t>istra Tomana a do výzkumu půjde stále málo peněz. Pozitivním pilotním projektem je snaha s cílem 10 % biopotravin od roku 2023 v rámci projektů Ovoce a zelenina do škol a Mléko do škol.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>Pozitivní je také větší podpora menších zemědělců nebo omezení zeměděl</w:t>
      </w:r>
      <w:r>
        <w:rPr>
          <w:sz w:val="24"/>
          <w:szCs w:val="24"/>
        </w:rPr>
        <w:t>ských monokultur na 10 hektarů v oblastech silně ohrožených erozí, které by se pak od roku 2024 mělo dále rozšířit na větší část území. V oblasti ochrany půdy před erozí se také pomalu ale přece rozjíždí protierozní vyhláška, která platí již od července 20</w:t>
      </w:r>
      <w:r>
        <w:rPr>
          <w:sz w:val="24"/>
          <w:szCs w:val="24"/>
        </w:rPr>
        <w:t xml:space="preserve">21, ale nebyla zatím aplikována. Ochrana před vodní erozí však stále zůstává nedostatečná, větrná eroze pak zatím není řešena nijak koncepčně. 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>Mezi významné negativní kroky lze zařadit zejména působení na evropské úrovni, kdy vláda bojuje proti cílům ke s</w:t>
      </w:r>
      <w:r>
        <w:rPr>
          <w:sz w:val="24"/>
          <w:szCs w:val="24"/>
        </w:rPr>
        <w:t>nižování pesticidů a sehrála aktivní negativní roli v rámci předsednictví tím, že ohrozila projednávání klíčového nařízení o udržitelném používání pesticidů. To má zakotvit evropské cíle do legislativy a konečně pomoci řešit kritickou situaci v oblasti pes</w:t>
      </w:r>
      <w:r>
        <w:rPr>
          <w:sz w:val="24"/>
          <w:szCs w:val="24"/>
        </w:rPr>
        <w:t xml:space="preserve">ticidů a </w:t>
      </w:r>
      <w:r>
        <w:rPr>
          <w:sz w:val="24"/>
          <w:szCs w:val="24"/>
        </w:rPr>
        <w:lastRenderedPageBreak/>
        <w:t xml:space="preserve">biodiverzity. Ministerstvo zemědělství také selhalo v procesu vzniku Monitorovacího výboru SZP, který proběhl zcela netransparentně a ekologické organizace, které se po 3 roky SZP aktivně věnují, z něj byly vědomě vynechány. 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6D9EEB"/>
        </w:rPr>
        <w:t>Odklon od uhlí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Tato</w:t>
      </w:r>
      <w:r>
        <w:rPr>
          <w:sz w:val="24"/>
          <w:szCs w:val="24"/>
        </w:rPr>
        <w:t xml:space="preserve"> oblast je paralyzována energetickou krizí a jako částečný nezanedbatelný posun k lepšímu tedy hodnotíme, že vláda setrvala na plánu odklonu od uhlí do roku 2033 (což je hlavní bod programového prohlášení v této oblasti). Navýšení těžby a spalování uhlí v </w:t>
      </w:r>
      <w:r>
        <w:rPr>
          <w:sz w:val="24"/>
          <w:szCs w:val="24"/>
        </w:rPr>
        <w:t>roce 2022 je dáno energetickou krizí a nelze z něj vinit vládu. V rámci změny emisní vyhlášky MŽP umožnilo pokračování uhelných tepláren (místo rychlého přechodu na plyn), což hodnotíme jako nutný krok v aktuální situaci. Zároveň však odmítlo uvolnit emisn</w:t>
      </w:r>
      <w:r>
        <w:rPr>
          <w:sz w:val="24"/>
          <w:szCs w:val="24"/>
        </w:rPr>
        <w:t>í limity pro uhelné elektrárny více, než je kvůli energetické krizi potřeba a nepodloženě pomáhat uhelným elektrárnám, které mají kvůli energetické krizi vysoké zisky. To hodnotíme jako pozitivní krok. Plán spravedlivé územní transformace a Operační progra</w:t>
      </w:r>
      <w:r>
        <w:rPr>
          <w:sz w:val="24"/>
          <w:szCs w:val="24"/>
        </w:rPr>
        <w:t xml:space="preserve">m Spravedlivá transformace však uvádí rok 2033 a neobsahují podrobnější plán pro regiony. Problémem jsou stále některé strategické projekty firem (Green Mine firmy </w:t>
      </w:r>
      <w:proofErr w:type="spellStart"/>
      <w:r>
        <w:rPr>
          <w:sz w:val="24"/>
          <w:szCs w:val="24"/>
        </w:rPr>
        <w:t>Sev.en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>) a omezené zapojování veřejnosti do procesu transformace. Nadále hrozí, že tra</w:t>
      </w:r>
      <w:r>
        <w:rPr>
          <w:sz w:val="24"/>
          <w:szCs w:val="24"/>
        </w:rPr>
        <w:t xml:space="preserve">nsformace uhelných regionů nebude naplňovat potřeby lidí, ale spíše jen uhelných firem. Stále neexistuje podrobnější plán k útlumu uhlí, ale vzhledem k energetické krizi a tomu, že nová Státní energetická koncepce ČR je v programovém prohlášení slíbena až </w:t>
      </w:r>
      <w:r>
        <w:rPr>
          <w:sz w:val="24"/>
          <w:szCs w:val="24"/>
        </w:rPr>
        <w:t>na konec roku 2023, nepovažujeme za fatální problém, že plán nevznikl již v roce 2022.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9DAF8"/>
        </w:rPr>
        <w:t>Energetická efektivita a úspory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Ministerstvo životního prostředí otevřelo program Nová zelená úsporám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>, který je sice zaměřený na důchodce a domácnosti pobírající</w:t>
      </w:r>
      <w:r>
        <w:rPr>
          <w:sz w:val="24"/>
          <w:szCs w:val="24"/>
        </w:rPr>
        <w:t xml:space="preserve"> příspěvek na bydlení, ale umožňuje jen dílčí (do 150 000 Kč) renovace rodinných domů. Pro řešení energetické chudoby je potřeba rozšířit nabídku i o komplexní energetické renovace pro nízkopříjmové skupiny, bezplatní poradenství a programy pro bytové domy</w:t>
      </w:r>
      <w:r>
        <w:rPr>
          <w:sz w:val="24"/>
          <w:szCs w:val="24"/>
        </w:rPr>
        <w:t xml:space="preserve"> s nízkopříjmovými vlastníky či nájemníky bytů. Energetická efektivita stále rozhodně není "jeden z klíčových pilířů energetické a klimatické politiky EU a ČR” (jak slibuje programové prohlášení vlády). Systémovým důvodem je, že chybí "projektový" přístup </w:t>
      </w:r>
      <w:r>
        <w:rPr>
          <w:sz w:val="24"/>
          <w:szCs w:val="24"/>
        </w:rPr>
        <w:t xml:space="preserve">a řízení: potřebujeme srazit spotřebu, tak uděláme jasný </w:t>
      </w:r>
      <w:proofErr w:type="gramStart"/>
      <w:r>
        <w:rPr>
          <w:sz w:val="24"/>
          <w:szCs w:val="24"/>
        </w:rPr>
        <w:t>plán</w:t>
      </w:r>
      <w:proofErr w:type="gramEnd"/>
      <w:r>
        <w:rPr>
          <w:sz w:val="24"/>
          <w:szCs w:val="24"/>
        </w:rPr>
        <w:t xml:space="preserve"> jak toho dosáhneme. Aktuální přístup je, že spíše, že uděláme podpůrný program a uvidíme, jak to dopadne. Také úsporný tarif nakonec nebyl nastaven na motivaci k úsporám, naopak </w:t>
      </w:r>
      <w:proofErr w:type="spellStart"/>
      <w:r>
        <w:rPr>
          <w:sz w:val="24"/>
          <w:szCs w:val="24"/>
        </w:rPr>
        <w:t>zastropování</w:t>
      </w:r>
      <w:proofErr w:type="spellEnd"/>
      <w:r>
        <w:rPr>
          <w:sz w:val="24"/>
          <w:szCs w:val="24"/>
        </w:rPr>
        <w:t xml:space="preserve"> cen</w:t>
      </w:r>
      <w:r>
        <w:rPr>
          <w:sz w:val="24"/>
          <w:szCs w:val="24"/>
        </w:rPr>
        <w:t xml:space="preserve"> motivaci k úsporám neřeší. Snížení spotřeby zemního plynu se projevilo, ale hlavně vlivem vysokých cen.</w:t>
      </w:r>
    </w:p>
    <w:p w:rsidR="006D5F98" w:rsidRDefault="006D5F98">
      <w:pPr>
        <w:ind w:left="720"/>
        <w:rPr>
          <w:color w:val="FF0000"/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6D9EEB"/>
        </w:rPr>
        <w:t>Obnovitelné zdroje energie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Velmi pozitivním krokem je vládní novelu energetického zákona (Lex OZE 1), která přináší zjednodušení pro instalaci a umis</w:t>
      </w:r>
      <w:r>
        <w:rPr>
          <w:sz w:val="24"/>
          <w:szCs w:val="24"/>
        </w:rPr>
        <w:t xml:space="preserve">ťování OZE, odstraňuje administrativní bariéry (instalace do 50 kW bez licence a bez </w:t>
      </w:r>
      <w:r>
        <w:rPr>
          <w:sz w:val="24"/>
          <w:szCs w:val="24"/>
        </w:rPr>
        <w:lastRenderedPageBreak/>
        <w:t>stavebního řízení či ohlášení). Novela je již schválená Poslaneckou sněmovnou a čeká na schválení Senátem. Ministerstvo průmyslu však nepřipravilo nový energetický zákon (</w:t>
      </w:r>
      <w:r>
        <w:rPr>
          <w:sz w:val="24"/>
          <w:szCs w:val="24"/>
        </w:rPr>
        <w:t>který vláda slíbila do konce roku 2022) a který měl nově postavit vztahy v energetice, včetně komunitní energetiky a akumulace. Částečně to MPO zachránilo tím, že předložilo novelu energetického zákona Lex OZE 2 (s komunitní energetikou, ale ne kompletními</w:t>
      </w:r>
      <w:r>
        <w:rPr>
          <w:sz w:val="24"/>
          <w:szCs w:val="24"/>
        </w:rPr>
        <w:t xml:space="preserve"> inovacemi, které měly být v novém energetickém zákoně). Novela je však velmi kvalitní a ostatní ministerstva jej ještě vylepšují. Klíčové je, aby byla rychle schválena vládou a parlamentem. Pozitivní je, že byla také obnovena provozní podpora pro OZE a vy</w:t>
      </w:r>
      <w:r>
        <w:rPr>
          <w:sz w:val="24"/>
          <w:szCs w:val="24"/>
        </w:rPr>
        <w:t xml:space="preserve">psány první aukce na větrné elektrárny (nařízení vlády na základě novely zákona o podporovaných zdrojích z roku 2021), což je první impuls pro výstavbu větrných </w:t>
      </w:r>
      <w:proofErr w:type="spellStart"/>
      <w:r>
        <w:rPr>
          <w:sz w:val="24"/>
          <w:szCs w:val="24"/>
        </w:rPr>
        <w:t>elektrárne</w:t>
      </w:r>
      <w:proofErr w:type="spellEnd"/>
      <w:r>
        <w:rPr>
          <w:sz w:val="24"/>
          <w:szCs w:val="24"/>
        </w:rPr>
        <w:t xml:space="preserve"> po mnoha letech. Ale zároveň je negativní, že do aukcí nebyla doplněna i </w:t>
      </w:r>
      <w:proofErr w:type="spellStart"/>
      <w:r>
        <w:rPr>
          <w:sz w:val="24"/>
          <w:szCs w:val="24"/>
        </w:rPr>
        <w:t>fotovoltaik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(a v aktuálním návrhu MPO na nařízení vlády se s aukcemi u </w:t>
      </w:r>
      <w:proofErr w:type="spellStart"/>
      <w:r>
        <w:rPr>
          <w:sz w:val="24"/>
          <w:szCs w:val="24"/>
        </w:rPr>
        <w:t>fotovoltaiky</w:t>
      </w:r>
      <w:proofErr w:type="spellEnd"/>
      <w:r>
        <w:rPr>
          <w:sz w:val="24"/>
          <w:szCs w:val="24"/>
        </w:rPr>
        <w:t xml:space="preserve"> nepočítá až do roku 2025).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E06666"/>
        </w:rPr>
        <w:t>Jaderná energetika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Jaderné reaktory a malé modulární reaktory tlačí vláda a koaliční poslanci do předpisů, které se týkají zrychlování rozvoje OZE a Mini</w:t>
      </w:r>
      <w:r>
        <w:rPr>
          <w:sz w:val="24"/>
          <w:szCs w:val="24"/>
        </w:rPr>
        <w:t>sterstvo průmyslu a obchodu předložilo také teze "klimatického zákona", který je pouze o rychlejším povolování a vyřazení veřejnosti a obcí z povolování jaderných zařízení. Nové jaderné reaktory jsou stále považovány za pilíř modernizace energetiky, probíh</w:t>
      </w:r>
      <w:r>
        <w:rPr>
          <w:sz w:val="24"/>
          <w:szCs w:val="24"/>
        </w:rPr>
        <w:t>á příprava na vládní rozhodnutí o stavbě šestého reaktoru v Dukovanech a dvou nových v Temelíně. Návrh zákona o úložišti přináší jen kosmetické posílení práva dotčených obcí při případném rozhodování o umístění hlubinného úložiště. A místo vyhodnocování ji</w:t>
      </w:r>
      <w:r>
        <w:rPr>
          <w:sz w:val="24"/>
          <w:szCs w:val="24"/>
        </w:rPr>
        <w:t>ných řešení je připravováno urychlení stavby úložiště.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C9DAF8"/>
        </w:rPr>
        <w:t>Doprava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Pozitivní je, že vysokorychlostní železnice se připravují a jsou zahájeny geologické průzkumy a další práce. Ministerstvo dopravy nadále tlačí splavnění Labe, což by poškodilo přírodní hodnot</w:t>
      </w:r>
      <w:r>
        <w:rPr>
          <w:sz w:val="24"/>
          <w:szCs w:val="24"/>
        </w:rPr>
        <w:t xml:space="preserve">y území. Byly však zastaveny práce na kanálu Dunaj-Odra-Labe, který by měl rozsáhlé devastační dopady. Podpora veřejné dopravy se nezlepšila, naopak byla zmenšena sleva pro děti a seniory, finanční úlevy korigující dopady zdražování se činí přednostně pro </w:t>
      </w:r>
      <w:r>
        <w:rPr>
          <w:sz w:val="24"/>
          <w:szCs w:val="24"/>
        </w:rPr>
        <w:t>řidiče. Potřebné změny v mýtném systému a další kroky k přesunu zboží na železnici neprobíhají. Podpora bezmotorové dopravy stagnuje. Ministr se poněkud nešťastně pokusil revidovat pravidlo povinného bočního odstupu při předjíždění cyklistů. Novela bodovéh</w:t>
      </w:r>
      <w:r>
        <w:rPr>
          <w:sz w:val="24"/>
          <w:szCs w:val="24"/>
        </w:rPr>
        <w:t>o systému nepřinesla pozitiva pro bezmotorové účastníky provozu, spíš naopak.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CCCCCC"/>
        </w:rPr>
        <w:t>Těžba surovin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Poslanecká sněmovna stále odkládá projednání senátní novely horního zákona, která by </w:t>
      </w:r>
      <w:proofErr w:type="spellStart"/>
      <w:r>
        <w:rPr>
          <w:sz w:val="24"/>
          <w:szCs w:val="24"/>
        </w:rPr>
        <w:t>přidělalila</w:t>
      </w:r>
      <w:proofErr w:type="spellEnd"/>
      <w:r>
        <w:rPr>
          <w:sz w:val="24"/>
          <w:szCs w:val="24"/>
        </w:rPr>
        <w:t xml:space="preserve"> více peněz z poplatku z vydobytého nerostu u hnědého uhlí krajům </w:t>
      </w:r>
      <w:r>
        <w:rPr>
          <w:sz w:val="24"/>
          <w:szCs w:val="24"/>
        </w:rPr>
        <w:t xml:space="preserve">(27 %, zatímco dnes mají 0 %). Navýšení těžby a spalování </w:t>
      </w:r>
      <w:r>
        <w:rPr>
          <w:sz w:val="24"/>
          <w:szCs w:val="24"/>
        </w:rPr>
        <w:lastRenderedPageBreak/>
        <w:t>uhlí v roce 2022 je dáno energetickou krizí a nelze z něj vinit vládu. Vláda kategoricky odmítá zpochybnit limity těžby hnědého uhlí kvůli energetické krizi.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E06666"/>
        </w:rPr>
        <w:t xml:space="preserve">Účast občanů při povolování stavebních </w:t>
      </w:r>
      <w:r>
        <w:rPr>
          <w:b/>
          <w:sz w:val="24"/>
          <w:szCs w:val="24"/>
          <w:shd w:val="clear" w:color="auto" w:fill="E06666"/>
        </w:rPr>
        <w:t>záměrů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Vláda předložila do PSP balíček zákonů k reformě stavebního práva v podobě, která omezuje účast veřejnosti ještě více než byla omezena v roce 2017. Ačkoli v programovém prohlášení slíbila obnovení práva veřejnosti účastnit se povolování staveb. Pok</w:t>
      </w:r>
      <w:r>
        <w:rPr>
          <w:sz w:val="24"/>
          <w:szCs w:val="24"/>
        </w:rPr>
        <w:t xml:space="preserve">ud by parlament schválil pravidla tak, jak je připravila vláda, nemohly by se spolky účastnit ani těch řízení, kde se v současné době účastnit </w:t>
      </w:r>
      <w:proofErr w:type="gramStart"/>
      <w:r>
        <w:rPr>
          <w:sz w:val="24"/>
          <w:szCs w:val="24"/>
        </w:rPr>
        <w:t>mohou - konkrétně</w:t>
      </w:r>
      <w:proofErr w:type="gramEnd"/>
      <w:r>
        <w:rPr>
          <w:sz w:val="24"/>
          <w:szCs w:val="24"/>
        </w:rPr>
        <w:t xml:space="preserve"> jde řízení o výjimkách ze zákazů zvláště chráněných druhů rostlin a živočichů. V meziresortním </w:t>
      </w:r>
      <w:r>
        <w:rPr>
          <w:sz w:val="24"/>
          <w:szCs w:val="24"/>
        </w:rPr>
        <w:t>připomínkovém řízení se objevil návrh novely liniového zákona, který usiluje o vyloučení veřejnosti i vlastníků dotčených nemovitostí z povolování širokého spektra staveb, které mají podpořit energetickou nezávislost/bezpečnost ČR. Další příprava novela ne</w:t>
      </w:r>
      <w:r>
        <w:rPr>
          <w:sz w:val="24"/>
          <w:szCs w:val="24"/>
        </w:rPr>
        <w:t>ní k datu hodnocení známa.</w:t>
      </w:r>
    </w:p>
    <w:p w:rsidR="006D5F98" w:rsidRDefault="006D5F98">
      <w:pPr>
        <w:ind w:left="720"/>
        <w:rPr>
          <w:sz w:val="24"/>
          <w:szCs w:val="24"/>
        </w:rPr>
      </w:pPr>
    </w:p>
    <w:p w:rsidR="006D5F98" w:rsidRDefault="009C344F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6D9EEB"/>
        </w:rPr>
        <w:t>Ochrana zájmů životního prostředí při povolování staveb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Vláda splnila svůj slib a předložila do PSP návrh zákona o jednotném environmentálním stanovisku. V programovém prohlášení sice slíbila formu povolení (tedy s účastníky řízení), ale i tak považujeme návrh za krok správným směrem. Návrh v případě schválení</w:t>
      </w:r>
      <w:r>
        <w:rPr>
          <w:sz w:val="24"/>
          <w:szCs w:val="24"/>
        </w:rPr>
        <w:t xml:space="preserve"> posílí ochranu veřejných zájmů v oblasti životního prostředí ze strany dotčených orgánů, neboť tím bude jednak odvráceno </w:t>
      </w:r>
      <w:proofErr w:type="spellStart"/>
      <w:r>
        <w:rPr>
          <w:sz w:val="24"/>
          <w:szCs w:val="24"/>
        </w:rPr>
        <w:t>Babišovou</w:t>
      </w:r>
      <w:proofErr w:type="spellEnd"/>
      <w:r>
        <w:rPr>
          <w:sz w:val="24"/>
          <w:szCs w:val="24"/>
        </w:rPr>
        <w:t xml:space="preserve"> vládou naplánované zrušení vydávání samostatných nezávislých odborných stanovisek pro stavební úřad, jednak se jednotné stan</w:t>
      </w:r>
      <w:r>
        <w:rPr>
          <w:sz w:val="24"/>
          <w:szCs w:val="24"/>
        </w:rPr>
        <w:t>ovisko bude zabývat problematikou dopadů na životní prostředí komplexně a budou tak lépe hodnoceny kumulativní účinky stavebních záměrů.</w:t>
      </w:r>
    </w:p>
    <w:p w:rsidR="006D5F98" w:rsidRDefault="006D5F98">
      <w:pPr>
        <w:rPr>
          <w:sz w:val="24"/>
          <w:szCs w:val="24"/>
        </w:rPr>
      </w:pPr>
    </w:p>
    <w:p w:rsidR="006D5F98" w:rsidRDefault="009C344F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  <w:shd w:val="clear" w:color="auto" w:fill="6D9EEB"/>
        </w:rPr>
        <w:t>Evropská a mezinárodní politika životního prostředí</w:t>
      </w:r>
      <w:r>
        <w:rPr>
          <w:sz w:val="24"/>
          <w:szCs w:val="24"/>
        </w:rPr>
        <w:t>: Vláda jednala konstruktivně v rámci EU předsednictví a většinou p</w:t>
      </w:r>
      <w:r>
        <w:rPr>
          <w:sz w:val="24"/>
          <w:szCs w:val="24"/>
        </w:rPr>
        <w:t>odporovala zlepšování klimatické politiky EU, ale výrazně vyšší ambice jiných členských států odmítala (například nezvýšení celoevropského cíle pro OZE v reakci na válku na Ukrajině a energetickou krizi). Nedostatkem výsledku tak je, že změny evropské klim</w:t>
      </w:r>
      <w:r>
        <w:rPr>
          <w:sz w:val="24"/>
          <w:szCs w:val="24"/>
        </w:rPr>
        <w:t xml:space="preserve">atické politiky jsou stále nedostatečně ambiciózní vzhledem k řešení klimatické krize a naplnění Pařížské dohody. </w:t>
      </w:r>
    </w:p>
    <w:p w:rsidR="006D5F98" w:rsidRDefault="009C344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 rámci mezinárodních klimatických jednáních vláda přispěla k posunu, když jako předsednická země EU pomohla k vyjednání pomoci chudým zemím </w:t>
      </w:r>
      <w:r>
        <w:rPr>
          <w:sz w:val="24"/>
          <w:szCs w:val="24"/>
        </w:rPr>
        <w:t>se zvládáním dopadů změny klimatu (což je nutná podmínka pro dosažení potřebných závazků pro snižování emisí). Vláda ČR také přispěla k uzavření přelomové dohody o ochraně biologické rozmanitosti na planetě v Montrealu. dohoda je sice v mnoha bodech nedost</w:t>
      </w:r>
      <w:r>
        <w:rPr>
          <w:sz w:val="24"/>
          <w:szCs w:val="24"/>
        </w:rPr>
        <w:t>atečně konkrétní, ale je to významný krok dopředu a ochrana přírody se stává jedním z cílů globálních vyjednávání mezi státy.</w:t>
      </w:r>
    </w:p>
    <w:sectPr w:rsidR="006D5F98">
      <w:headerReference w:type="default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4F" w:rsidRDefault="009C344F">
      <w:pPr>
        <w:spacing w:line="240" w:lineRule="auto"/>
      </w:pPr>
      <w:r>
        <w:separator/>
      </w:r>
    </w:p>
  </w:endnote>
  <w:endnote w:type="continuationSeparator" w:id="0">
    <w:p w:rsidR="009C344F" w:rsidRDefault="009C3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98" w:rsidRDefault="009C344F">
    <w:pPr>
      <w:jc w:val="right"/>
    </w:pPr>
    <w:r>
      <w:fldChar w:fldCharType="begin"/>
    </w:r>
    <w:r>
      <w:instrText>PAGE</w:instrText>
    </w:r>
    <w:r w:rsidR="00863DCD">
      <w:fldChar w:fldCharType="separate"/>
    </w:r>
    <w:r w:rsidR="00863DC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98" w:rsidRDefault="009C344F">
    <w:pPr>
      <w:jc w:val="right"/>
    </w:pPr>
    <w:r>
      <w:fldChar w:fldCharType="begin"/>
    </w:r>
    <w:r>
      <w:instrText>PAGE</w:instrText>
    </w:r>
    <w:r w:rsidR="00863DCD">
      <w:fldChar w:fldCharType="separate"/>
    </w:r>
    <w:r w:rsidR="00863D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4F" w:rsidRDefault="009C344F">
      <w:pPr>
        <w:spacing w:line="240" w:lineRule="auto"/>
      </w:pPr>
      <w:r>
        <w:separator/>
      </w:r>
    </w:p>
  </w:footnote>
  <w:footnote w:type="continuationSeparator" w:id="0">
    <w:p w:rsidR="009C344F" w:rsidRDefault="009C3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98" w:rsidRDefault="006D5F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F98" w:rsidRDefault="009C344F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-57149</wp:posOffset>
          </wp:positionH>
          <wp:positionV relativeFrom="margin">
            <wp:posOffset>-647699</wp:posOffset>
          </wp:positionV>
          <wp:extent cx="2218055" cy="5994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055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3079050</wp:posOffset>
          </wp:positionH>
          <wp:positionV relativeFrom="margin">
            <wp:posOffset>-647699</wp:posOffset>
          </wp:positionV>
          <wp:extent cx="2708275" cy="5816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27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7091550</wp:posOffset>
          </wp:positionH>
          <wp:positionV relativeFrom="paragraph">
            <wp:posOffset>-242887</wp:posOffset>
          </wp:positionV>
          <wp:extent cx="1773938" cy="6816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3938" cy="681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B10"/>
    <w:multiLevelType w:val="multilevel"/>
    <w:tmpl w:val="5E7C2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D76D58"/>
    <w:multiLevelType w:val="multilevel"/>
    <w:tmpl w:val="33D24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0252E3"/>
    <w:multiLevelType w:val="multilevel"/>
    <w:tmpl w:val="4CE8C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024CBF"/>
    <w:multiLevelType w:val="multilevel"/>
    <w:tmpl w:val="FC444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423EAC"/>
    <w:multiLevelType w:val="multilevel"/>
    <w:tmpl w:val="FA52E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8"/>
    <w:rsid w:val="006D5F98"/>
    <w:rsid w:val="00863DCD"/>
    <w:rsid w:val="009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093A"/>
  <w15:docId w15:val="{671C2B5B-4858-4AE3-BB70-0D8178C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olinska@zelenykru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kozelouh@hnutiduh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3214</Words>
  <Characters>18966</Characters>
  <Application>Microsoft Office Word</Application>
  <DocSecurity>0</DocSecurity>
  <Lines>158</Lines>
  <Paragraphs>44</Paragraphs>
  <ScaleCrop>false</ScaleCrop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Edvard</cp:lastModifiedBy>
  <cp:revision>2</cp:revision>
  <dcterms:created xsi:type="dcterms:W3CDTF">2023-01-12T12:31:00Z</dcterms:created>
  <dcterms:modified xsi:type="dcterms:W3CDTF">2023-01-12T12:31:00Z</dcterms:modified>
</cp:coreProperties>
</file>